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ascii="Times New Roman" w:hAnsi="Times New Roman" w:eastAsia="Calibri" w:cs="Times New Roman"/>
          <w:b/>
          <w:color w:val="000000"/>
          <w:sz w:val="26"/>
          <w:szCs w:val="26"/>
          <w:lang w:val="en-IN" w:bidi="hi-IN"/>
        </w:rPr>
      </w:pPr>
      <w:r>
        <w:rPr>
          <w:rFonts w:ascii="Times New Roman" w:hAnsi="Times New Roman" w:eastAsia="Calibri" w:cs="Times New Roman"/>
          <w:b/>
          <w:color w:val="000000"/>
          <w:sz w:val="26"/>
          <w:szCs w:val="26"/>
          <w:lang w:val="en-IN" w:bidi="hi-IN"/>
        </w:rPr>
        <w:t>Bachelor of Education in Special Educa</w:t>
      </w:r>
      <w:bookmarkStart w:id="0" w:name="_GoBack"/>
      <w:bookmarkEnd w:id="0"/>
      <w:r>
        <w:rPr>
          <w:rFonts w:ascii="Times New Roman" w:hAnsi="Times New Roman" w:eastAsia="Calibri" w:cs="Times New Roman"/>
          <w:b/>
          <w:color w:val="000000"/>
          <w:sz w:val="26"/>
          <w:szCs w:val="26"/>
          <w:lang w:val="en-IN" w:bidi="hi-IN"/>
        </w:rPr>
        <w:t xml:space="preserve">tion- Intellectual Disabilities (B.Ed. SE-ID) </w:t>
      </w:r>
    </w:p>
    <w:p>
      <w:pPr>
        <w:tabs>
          <w:tab w:val="left" w:pos="0"/>
          <w:tab w:val="left" w:pos="720"/>
        </w:tabs>
        <w:spacing w:after="0" w:line="240" w:lineRule="auto"/>
        <w:jc w:val="center"/>
        <w:rPr>
          <w:rFonts w:ascii="Times New Roman" w:hAnsi="Times New Roman" w:eastAsia="Times New Roman" w:cs="Times New Roman"/>
          <w:b/>
          <w:bCs/>
          <w:color w:val="000000"/>
          <w:sz w:val="26"/>
          <w:szCs w:val="26"/>
          <w:lang w:bidi="hi-IN"/>
        </w:rPr>
      </w:pPr>
      <w:r>
        <w:rPr>
          <w:rFonts w:ascii="Times New Roman" w:hAnsi="Times New Roman" w:eastAsia="Times New Roman" w:cs="Times New Roman"/>
          <w:b/>
          <w:bCs/>
          <w:color w:val="000000"/>
          <w:sz w:val="26"/>
          <w:szCs w:val="26"/>
          <w:lang w:bidi="hi-IN"/>
        </w:rPr>
        <w:t>(Semester: IV)</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Calibri" w:cs="Times New Roman"/>
          <w:b/>
          <w:spacing w:val="-1"/>
          <w:sz w:val="23"/>
          <w:lang w:bidi="ar-SA"/>
        </w:rPr>
        <w:t>Course</w:t>
      </w:r>
      <w:r>
        <w:rPr>
          <w:rFonts w:ascii="Times New Roman" w:hAnsi="Times New Roman" w:eastAsia="Calibri" w:cs="Times New Roman"/>
          <w:b/>
          <w:spacing w:val="-3"/>
          <w:sz w:val="23"/>
          <w:lang w:bidi="ar-SA"/>
        </w:rPr>
        <w:t xml:space="preserve"> </w:t>
      </w:r>
      <w:r>
        <w:rPr>
          <w:rFonts w:ascii="Times New Roman" w:hAnsi="Times New Roman" w:eastAsia="Calibri" w:cs="Times New Roman"/>
          <w:b/>
          <w:sz w:val="23"/>
          <w:lang w:bidi="ar-SA"/>
        </w:rPr>
        <w:t>code:</w:t>
      </w:r>
      <w:r>
        <w:rPr>
          <w:rFonts w:ascii="Times New Roman" w:hAnsi="Times New Roman" w:eastAsia="Calibri" w:cs="Times New Roman"/>
          <w:b/>
          <w:spacing w:val="-6"/>
          <w:sz w:val="23"/>
          <w:lang w:bidi="ar-SA"/>
        </w:rPr>
        <w:t xml:space="preserve"> </w:t>
      </w:r>
      <w:r>
        <w:rPr>
          <w:rFonts w:ascii="Times New Roman" w:hAnsi="Times New Roman" w:eastAsia="Calibri" w:cs="Times New Roman"/>
          <w:b/>
          <w:bCs/>
          <w:sz w:val="23"/>
          <w:lang w:bidi="ar-SA"/>
        </w:rPr>
        <w:t>B 11(D)</w:t>
      </w:r>
    </w:p>
    <w:p>
      <w:pPr>
        <w:tabs>
          <w:tab w:val="left" w:pos="0"/>
          <w:tab w:val="left" w:pos="720"/>
        </w:tabs>
        <w:spacing w:after="0" w:line="240" w:lineRule="auto"/>
        <w:jc w:val="center"/>
        <w:rPr>
          <w:rFonts w:ascii="Times New Roman" w:hAnsi="Times New Roman" w:eastAsia="Calibri" w:cs="Times New Roman"/>
          <w:b/>
          <w:color w:val="000000"/>
          <w:sz w:val="24"/>
          <w:szCs w:val="24"/>
          <w:lang w:val="en-IN" w:bidi="hi-IN"/>
        </w:rPr>
      </w:pPr>
    </w:p>
    <w:p>
      <w:pPr>
        <w:tabs>
          <w:tab w:val="left" w:pos="0"/>
          <w:tab w:val="left" w:pos="720"/>
        </w:tabs>
        <w:spacing w:after="0" w:line="240" w:lineRule="auto"/>
        <w:jc w:val="center"/>
        <w:rPr>
          <w:rFonts w:ascii="Times New Roman" w:hAnsi="Times New Roman" w:eastAsia="Calibri" w:cs="Times New Roman"/>
          <w:color w:val="000000"/>
          <w:sz w:val="24"/>
          <w:szCs w:val="24"/>
          <w:lang w:bidi="hi-IN"/>
        </w:rPr>
      </w:pPr>
      <w:r>
        <w:rPr>
          <w:rFonts w:ascii="Times New Roman" w:hAnsi="Times New Roman" w:eastAsia="Times New Roman" w:cs="Times New Roman"/>
          <w:b/>
          <w:bCs/>
          <w:color w:val="000000"/>
          <w:sz w:val="24"/>
          <w:szCs w:val="24"/>
          <w:lang w:bidi="hi-IN"/>
        </w:rPr>
        <w:t>Title of the Course: AUGMENTATIVE AND ALTERNATIVE COMMUNICATION</w:t>
      </w:r>
    </w:p>
    <w:p>
      <w:pPr>
        <w:tabs>
          <w:tab w:val="left" w:pos="0"/>
          <w:tab w:val="left" w:pos="720"/>
        </w:tabs>
        <w:spacing w:after="0" w:line="240" w:lineRule="auto"/>
        <w:jc w:val="center"/>
        <w:rPr>
          <w:rFonts w:ascii="Times New Roman" w:hAnsi="Times New Roman" w:eastAsia="Calibri" w:cs="Times New Roman"/>
          <w:sz w:val="23"/>
          <w:lang w:bidi="ar-SA"/>
        </w:rPr>
      </w:pPr>
    </w:p>
    <w:p>
      <w:pPr>
        <w:widowControl w:val="0"/>
        <w:autoSpaceDE w:val="0"/>
        <w:autoSpaceDN w:val="0"/>
        <w:spacing w:before="124" w:after="0" w:line="240" w:lineRule="auto"/>
        <w:jc w:val="right"/>
        <w:outlineLvl w:val="1"/>
        <w:rPr>
          <w:rFonts w:ascii="Times New Roman" w:hAnsi="Times New Roman" w:eastAsia="Times New Roman" w:cs="Times New Roman"/>
          <w:bCs/>
          <w:sz w:val="23"/>
          <w:szCs w:val="23"/>
          <w:lang w:bidi="ar-SA"/>
        </w:rPr>
      </w:pPr>
      <w:r>
        <w:rPr>
          <w:rFonts w:ascii="Times New Roman" w:hAnsi="Times New Roman" w:eastAsia="Times New Roman" w:cs="Times New Roman"/>
          <w:b/>
          <w:bCs/>
          <w:w w:val="95"/>
          <w:sz w:val="23"/>
          <w:szCs w:val="23"/>
          <w:lang w:bidi="ar-SA"/>
        </w:rPr>
        <w:tab/>
      </w:r>
      <w:r>
        <w:rPr>
          <w:rFonts w:ascii="Times New Roman" w:hAnsi="Times New Roman" w:eastAsia="Times New Roman" w:cs="Times New Roman"/>
          <w:b/>
          <w:bCs/>
          <w:w w:val="95"/>
          <w:sz w:val="23"/>
          <w:szCs w:val="23"/>
          <w:lang w:bidi="ar-SA"/>
        </w:rPr>
        <w:tab/>
      </w:r>
      <w:r>
        <w:rPr>
          <w:rFonts w:ascii="Times New Roman" w:hAnsi="Times New Roman" w:eastAsia="Times New Roman" w:cs="Times New Roman"/>
          <w:b/>
          <w:bCs/>
          <w:w w:val="95"/>
          <w:sz w:val="23"/>
          <w:szCs w:val="23"/>
          <w:lang w:bidi="ar-SA"/>
        </w:rPr>
        <w:tab/>
      </w:r>
      <w:r>
        <w:rPr>
          <w:rFonts w:ascii="Times New Roman" w:hAnsi="Times New Roman" w:eastAsia="Times New Roman" w:cs="Times New Roman"/>
          <w:b/>
          <w:bCs/>
          <w:w w:val="95"/>
          <w:sz w:val="23"/>
          <w:szCs w:val="23"/>
          <w:lang w:bidi="ar-SA"/>
        </w:rPr>
        <w:tab/>
      </w:r>
      <w:r>
        <w:rPr>
          <w:rFonts w:ascii="Times New Roman" w:hAnsi="Times New Roman" w:eastAsia="Times New Roman" w:cs="Times New Roman"/>
          <w:b/>
          <w:bCs/>
          <w:w w:val="95"/>
          <w:sz w:val="23"/>
          <w:szCs w:val="23"/>
          <w:lang w:bidi="ar-SA"/>
        </w:rPr>
        <w:tab/>
      </w:r>
      <w:r>
        <w:rPr>
          <w:rFonts w:ascii="Times New Roman" w:hAnsi="Times New Roman" w:eastAsia="Times New Roman" w:cs="Times New Roman"/>
          <w:b/>
          <w:bCs/>
          <w:w w:val="95"/>
          <w:sz w:val="23"/>
          <w:szCs w:val="23"/>
          <w:lang w:bidi="ar-SA"/>
        </w:rPr>
        <w:tab/>
      </w:r>
      <w:r>
        <w:rPr>
          <w:rFonts w:ascii="Times New Roman" w:hAnsi="Times New Roman" w:eastAsia="Times New Roman" w:cs="Times New Roman"/>
          <w:b/>
          <w:bCs/>
          <w:w w:val="95"/>
          <w:sz w:val="23"/>
          <w:szCs w:val="23"/>
          <w:lang w:bidi="ar-SA"/>
        </w:rPr>
        <w:tab/>
      </w:r>
      <w:r>
        <w:rPr>
          <w:rFonts w:ascii="Times New Roman" w:hAnsi="Times New Roman" w:eastAsia="Times New Roman" w:cs="Times New Roman"/>
          <w:b/>
          <w:bCs/>
          <w:w w:val="95"/>
          <w:sz w:val="23"/>
          <w:szCs w:val="23"/>
          <w:lang w:bidi="ar-SA"/>
        </w:rPr>
        <w:tab/>
      </w:r>
      <w:r>
        <w:rPr>
          <w:rFonts w:ascii="Times New Roman" w:hAnsi="Times New Roman" w:eastAsia="Times New Roman" w:cs="Times New Roman"/>
          <w:b/>
          <w:bCs/>
          <w:w w:val="95"/>
          <w:sz w:val="23"/>
          <w:szCs w:val="23"/>
          <w:lang w:bidi="ar-SA"/>
        </w:rPr>
        <w:t>Credits:</w:t>
      </w:r>
      <w:r>
        <w:rPr>
          <w:rFonts w:ascii="Times New Roman" w:hAnsi="Times New Roman" w:eastAsia="Times New Roman" w:cs="Times New Roman"/>
          <w:b/>
          <w:bCs/>
          <w:spacing w:val="28"/>
          <w:w w:val="95"/>
          <w:sz w:val="23"/>
          <w:szCs w:val="23"/>
          <w:lang w:bidi="ar-SA"/>
        </w:rPr>
        <w:t xml:space="preserve"> </w:t>
      </w:r>
      <w:r>
        <w:rPr>
          <w:rFonts w:ascii="Times New Roman" w:hAnsi="Times New Roman" w:eastAsia="Times New Roman" w:cs="Times New Roman"/>
          <w:b/>
          <w:bCs/>
          <w:w w:val="95"/>
          <w:sz w:val="23"/>
          <w:szCs w:val="23"/>
          <w:lang w:bidi="ar-SA"/>
        </w:rPr>
        <w:t>04</w:t>
      </w:r>
    </w:p>
    <w:p>
      <w:pPr>
        <w:widowControl w:val="0"/>
        <w:autoSpaceDE w:val="0"/>
        <w:autoSpaceDN w:val="0"/>
        <w:spacing w:before="6" w:after="0" w:line="240" w:lineRule="auto"/>
        <w:ind w:left="5151"/>
        <w:jc w:val="right"/>
        <w:rPr>
          <w:rFonts w:ascii="Times New Roman" w:hAnsi="Times New Roman" w:eastAsia="Times New Roman" w:cs="Times New Roman"/>
          <w:b/>
          <w:bCs/>
          <w:w w:val="95"/>
          <w:sz w:val="23"/>
          <w:szCs w:val="23"/>
          <w:lang w:bidi="ar-SA"/>
        </w:rPr>
      </w:pPr>
      <w:r>
        <w:rPr>
          <w:rFonts w:ascii="Times New Roman" w:hAnsi="Times New Roman" w:eastAsia="Times New Roman" w:cs="Times New Roman"/>
          <w:b/>
          <w:bCs/>
          <w:w w:val="95"/>
          <w:sz w:val="23"/>
          <w:szCs w:val="23"/>
          <w:lang w:bidi="ar-SA"/>
        </w:rPr>
        <w:t>MM: 100 (External: 70 Internal: 30)</w:t>
      </w:r>
    </w:p>
    <w:p>
      <w:pPr>
        <w:widowControl w:val="0"/>
        <w:autoSpaceDE w:val="0"/>
        <w:autoSpaceDN w:val="0"/>
        <w:spacing w:before="6" w:after="0" w:line="240" w:lineRule="auto"/>
        <w:ind w:left="5760" w:firstLine="720"/>
        <w:jc w:val="right"/>
        <w:rPr>
          <w:rFonts w:ascii="Times New Roman" w:hAnsi="Times New Roman" w:eastAsia="Times New Roman" w:cs="Times New Roman"/>
          <w:b/>
          <w:szCs w:val="23"/>
          <w:lang w:bidi="ar-SA"/>
        </w:rPr>
      </w:pPr>
      <w:r>
        <w:rPr>
          <w:rFonts w:ascii="Times New Roman" w:hAnsi="Times New Roman" w:eastAsia="Times New Roman" w:cs="Times New Roman"/>
          <w:b/>
          <w:bCs/>
          <w:w w:val="95"/>
          <w:sz w:val="23"/>
          <w:szCs w:val="23"/>
          <w:lang w:bidi="ar-SA"/>
        </w:rPr>
        <w:t>Contact Week 15</w:t>
      </w:r>
    </w:p>
    <w:p>
      <w:pPr>
        <w:spacing w:before="91" w:after="200" w:line="276" w:lineRule="auto"/>
        <w:ind w:left="152"/>
        <w:rPr>
          <w:rFonts w:ascii="Times New Roman" w:hAnsi="Times New Roman" w:eastAsia="Calibri" w:cs="Times New Roman"/>
          <w:b/>
          <w:sz w:val="23"/>
          <w:lang w:bidi="ar-SA"/>
        </w:rPr>
      </w:pPr>
      <w:r>
        <w:rPr>
          <w:rFonts w:ascii="Times New Roman" w:hAnsi="Times New Roman" w:eastAsia="Calibri" w:cs="Times New Roman"/>
          <w:b/>
          <w:sz w:val="23"/>
          <w:lang w:bidi="ar-SA"/>
        </w:rPr>
        <w:t>Introduction of the Course</w:t>
      </w:r>
    </w:p>
    <w:p>
      <w:pPr>
        <w:spacing w:before="91" w:after="200" w:line="360" w:lineRule="auto"/>
        <w:ind w:left="152"/>
        <w:jc w:val="both"/>
        <w:rPr>
          <w:rFonts w:ascii="Times New Roman" w:hAnsi="Times New Roman" w:eastAsia="Calibri" w:cs="Times New Roman"/>
          <w:bCs/>
          <w:sz w:val="24"/>
          <w:szCs w:val="24"/>
          <w:lang w:bidi="ar-SA"/>
        </w:rPr>
      </w:pPr>
      <w:r>
        <w:rPr>
          <w:rFonts w:ascii="Times New Roman" w:hAnsi="Times New Roman" w:eastAsia="Calibri" w:cs="Times New Roman"/>
          <w:bCs/>
          <w:sz w:val="24"/>
          <w:szCs w:val="24"/>
          <w:lang w:bidi="ar-SA"/>
        </w:rPr>
        <w:t>Augmentative and alternative communication (AAC) refers to the strategies, tools, and systems used to enhance or supplement the communication abilities of individuals who have difficulty using speech to convey their thoughts and ideas. These methods are essential for individuals with speech impairments, cognitive disabilities, or other conditions that limit their ability to communicate effectively. In this essay, we will discuss the various types of AAC, the benefits they provide, and the role they play in improving the lives of those who use them.</w:t>
      </w:r>
      <w:r>
        <w:t xml:space="preserve"> </w:t>
      </w:r>
      <w:r>
        <w:rPr>
          <w:rFonts w:ascii="Times New Roman" w:hAnsi="Times New Roman" w:eastAsia="Calibri" w:cs="Times New Roman"/>
          <w:bCs/>
          <w:sz w:val="24"/>
          <w:szCs w:val="24"/>
          <w:lang w:bidi="ar-SA"/>
        </w:rPr>
        <w:t>AAC provides special educators with tools to facilitate effective communication with students who have complex communication needs. By using AAC systems, educators can help students express their thoughts, needs, and emotions, leading to improved social interactions and academic engagement.</w:t>
      </w:r>
    </w:p>
    <w:p>
      <w:pPr>
        <w:spacing w:before="91" w:after="200" w:line="276" w:lineRule="auto"/>
        <w:ind w:left="152"/>
        <w:rPr>
          <w:rFonts w:ascii="Calibri" w:hAnsi="Calibri" w:eastAsia="Calibri" w:cs="Mangal"/>
          <w:b/>
          <w:sz w:val="23"/>
          <w:lang w:bidi="ar-SA"/>
        </w:rPr>
      </w:pPr>
      <w:r>
        <w:rPr>
          <w:rFonts w:ascii="Calibri" w:hAnsi="Calibri" w:eastAsia="Calibri" w:cs="Mangal"/>
          <w:b/>
          <w:sz w:val="23"/>
          <w:lang w:bidi="ar-SA"/>
        </w:rPr>
        <w:t>Learning Outcome</w:t>
      </w:r>
    </w:p>
    <w:p>
      <w:pPr>
        <w:suppressAutoHyphens/>
        <w:spacing w:after="200" w:line="276"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The student-teachers will be equipped with a basic knowledge of AAC, AAC systems, AAC assessment, programme planning and strategies. This will enable special education teachers:</w:t>
      </w:r>
    </w:p>
    <w:p>
      <w:pPr>
        <w:pStyle w:val="6"/>
        <w:numPr>
          <w:ilvl w:val="0"/>
          <w:numId w:val="1"/>
        </w:numPr>
        <w:suppressAutoHyphens/>
        <w:spacing w:after="200" w:line="276"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To comprehensive understanding of various augmentative and alternative communication (AAC) systems, including low-tech and high-tech options, and their applications in supporting individuals with communication challenges.</w:t>
      </w:r>
    </w:p>
    <w:p>
      <w:pPr>
        <w:pStyle w:val="6"/>
        <w:numPr>
          <w:ilvl w:val="0"/>
          <w:numId w:val="1"/>
        </w:numPr>
        <w:suppressAutoHyphens/>
        <w:spacing w:after="200" w:line="276"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To develop the skills to assess the communication needs of students with disabilities and effectively implement AAC strategies tailored to individual abilities and requirements.</w:t>
      </w:r>
    </w:p>
    <w:p>
      <w:pPr>
        <w:pStyle w:val="6"/>
        <w:numPr>
          <w:ilvl w:val="0"/>
          <w:numId w:val="1"/>
        </w:numPr>
        <w:suppressAutoHyphens/>
        <w:spacing w:after="200" w:line="276"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To collaborate with speech-language pathologists, occupational therapists, and other professionals to create and implement AAC plans that address the diverse needs of students with disabilities.</w:t>
      </w:r>
    </w:p>
    <w:p>
      <w:pPr>
        <w:pStyle w:val="6"/>
        <w:numPr>
          <w:ilvl w:val="0"/>
          <w:numId w:val="1"/>
        </w:numPr>
        <w:suppressAutoHyphens/>
        <w:spacing w:after="200" w:line="276"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To advocate for the rights of individuals with disabilities to access appropriate AAC supports and empower them to participate more fully in educational and social activities.</w:t>
      </w:r>
    </w:p>
    <w:p>
      <w:pPr>
        <w:pStyle w:val="6"/>
        <w:suppressAutoHyphens/>
        <w:spacing w:after="200" w:line="276" w:lineRule="auto"/>
        <w:jc w:val="both"/>
        <w:rPr>
          <w:rFonts w:ascii="Times New Roman" w:hAnsi="Times New Roman" w:eastAsia="Calibri" w:cs="Times New Roman"/>
          <w:bCs/>
          <w:sz w:val="24"/>
          <w:szCs w:val="24"/>
          <w:lang w:val="en-GB" w:bidi="ar-SA"/>
        </w:rPr>
      </w:pPr>
    </w:p>
    <w:p>
      <w:pPr>
        <w:suppressAutoHyphens/>
        <w:spacing w:after="0" w:line="360" w:lineRule="auto"/>
        <w:jc w:val="both"/>
        <w:rPr>
          <w:rFonts w:ascii="Times New Roman" w:hAnsi="Times New Roman" w:eastAsia="Calibri" w:cs="Times New Roman"/>
          <w:b/>
          <w:sz w:val="24"/>
          <w:szCs w:val="24"/>
          <w:lang w:val="en-GB" w:bidi="ar-SA"/>
        </w:rPr>
      </w:pPr>
    </w:p>
    <w:p>
      <w:pPr>
        <w:suppressAutoHyphens/>
        <w:spacing w:after="0" w:line="360" w:lineRule="auto"/>
        <w:jc w:val="both"/>
        <w:rPr>
          <w:rFonts w:ascii="Times New Roman" w:hAnsi="Times New Roman" w:eastAsia="Calibri" w:cs="Times New Roman"/>
          <w:b/>
          <w:sz w:val="24"/>
          <w:szCs w:val="24"/>
          <w:lang w:val="en-GB" w:bidi="ar-SA"/>
        </w:rPr>
      </w:pPr>
    </w:p>
    <w:p>
      <w:pPr>
        <w:suppressAutoHyphens/>
        <w:spacing w:after="0" w:line="360" w:lineRule="auto"/>
        <w:jc w:val="both"/>
        <w:rPr>
          <w:rFonts w:hint="default" w:ascii="Times New Roman" w:hAnsi="Times New Roman" w:eastAsia="Calibri" w:cs="Times New Roman"/>
          <w:b/>
          <w:sz w:val="24"/>
          <w:szCs w:val="24"/>
          <w:lang w:val="en-US" w:bidi="ar-SA"/>
        </w:rPr>
      </w:pPr>
      <w:r>
        <w:rPr>
          <w:rFonts w:ascii="Times New Roman" w:hAnsi="Times New Roman" w:eastAsia="Calibri" w:cs="Times New Roman"/>
          <w:b/>
          <w:sz w:val="24"/>
          <w:szCs w:val="24"/>
          <w:lang w:val="en-GB" w:bidi="ar-SA"/>
        </w:rPr>
        <w:t xml:space="preserve">Unit 1: Organizational frame work for Communication: </w:t>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hint="default" w:ascii="Times New Roman" w:hAnsi="Times New Roman" w:eastAsia="Calibri" w:cs="Times New Roman"/>
          <w:b/>
          <w:sz w:val="24"/>
          <w:szCs w:val="24"/>
          <w:lang w:val="en-US" w:bidi="ar-SA"/>
        </w:rPr>
        <w:t>(6 hours)</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1.1 Normal development of speech, language and communication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1.2 Factors that influence communication, speech and language in relation to each other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1.3 Levels of communication in children: Functional (Emergent), Situational (Context dependent) &amp; Independent (Creative) </w:t>
      </w:r>
    </w:p>
    <w:p>
      <w:pPr>
        <w:suppressAutoHyphens/>
        <w:spacing w:after="0" w:line="360" w:lineRule="auto"/>
        <w:jc w:val="both"/>
        <w:rPr>
          <w:rFonts w:ascii="Times New Roman" w:hAnsi="Times New Roman" w:eastAsia="Calibri" w:cs="Times New Roman"/>
          <w:b/>
          <w:sz w:val="24"/>
          <w:szCs w:val="24"/>
          <w:lang w:val="en-GB" w:bidi="ar-SA"/>
        </w:rPr>
      </w:pPr>
      <w:r>
        <w:rPr>
          <w:rFonts w:ascii="Times New Roman" w:hAnsi="Times New Roman" w:eastAsia="Calibri" w:cs="Times New Roman"/>
          <w:b/>
          <w:sz w:val="24"/>
          <w:szCs w:val="24"/>
          <w:lang w:val="en-GB" w:bidi="ar-SA"/>
        </w:rPr>
        <w:t xml:space="preserve">Unit 2: Basic principles of AAC interventions: </w:t>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hint="default" w:ascii="Times New Roman" w:hAnsi="Times New Roman" w:eastAsia="Calibri" w:cs="Times New Roman"/>
          <w:b/>
          <w:sz w:val="24"/>
          <w:szCs w:val="24"/>
          <w:lang w:val="en-US" w:bidi="ar-SA"/>
        </w:rPr>
        <w:t>(7 hours)</w:t>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2.1 Child - Child capacity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2.2 Child capacity and context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2.3 Working towards symbolic expression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2.4 Communication skills and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2.5 Functions </w:t>
      </w:r>
    </w:p>
    <w:p>
      <w:pPr>
        <w:suppressAutoHyphens/>
        <w:spacing w:after="0" w:line="360" w:lineRule="auto"/>
        <w:jc w:val="both"/>
        <w:rPr>
          <w:rFonts w:ascii="Times New Roman" w:hAnsi="Times New Roman" w:eastAsia="Calibri" w:cs="Times New Roman"/>
          <w:b/>
          <w:sz w:val="24"/>
          <w:szCs w:val="24"/>
          <w:lang w:val="en-GB" w:bidi="ar-SA"/>
        </w:rPr>
      </w:pPr>
      <w:r>
        <w:rPr>
          <w:rFonts w:ascii="Times New Roman" w:hAnsi="Times New Roman" w:eastAsia="Calibri" w:cs="Times New Roman"/>
          <w:b/>
          <w:sz w:val="24"/>
          <w:szCs w:val="24"/>
          <w:lang w:val="en-GB" w:bidi="ar-SA"/>
        </w:rPr>
        <w:t xml:space="preserve">Unit 3: Areas of AAC Assessment: </w:t>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hint="default" w:ascii="Times New Roman" w:hAnsi="Times New Roman" w:eastAsia="Calibri" w:cs="Times New Roman"/>
          <w:b/>
          <w:sz w:val="24"/>
          <w:szCs w:val="24"/>
          <w:lang w:val="en-US" w:bidi="ar-SA"/>
        </w:rPr>
        <w:t>(7 hours)</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3.1 Sensory areas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3.2 Cognition, communication and language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3.3 Posture and positioning. Motor planning and control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3.4 Scanning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3.5 Environment, Interaction &amp; Symbols </w:t>
      </w:r>
    </w:p>
    <w:p>
      <w:pPr>
        <w:suppressAutoHyphens/>
        <w:spacing w:after="0" w:line="360" w:lineRule="auto"/>
        <w:jc w:val="both"/>
        <w:rPr>
          <w:rFonts w:ascii="Times New Roman" w:hAnsi="Times New Roman" w:eastAsia="Calibri" w:cs="Times New Roman"/>
          <w:b/>
          <w:sz w:val="24"/>
          <w:szCs w:val="24"/>
          <w:lang w:val="en-GB" w:bidi="ar-SA"/>
        </w:rPr>
      </w:pPr>
      <w:r>
        <w:rPr>
          <w:rFonts w:ascii="Times New Roman" w:hAnsi="Times New Roman" w:eastAsia="Calibri" w:cs="Times New Roman"/>
          <w:b/>
          <w:sz w:val="24"/>
          <w:szCs w:val="24"/>
          <w:lang w:val="en-GB" w:bidi="ar-SA"/>
        </w:rPr>
        <w:t xml:space="preserve">Unit 4: Context of Communication:  </w:t>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hint="default" w:ascii="Times New Roman" w:hAnsi="Times New Roman" w:eastAsia="Calibri" w:cs="Times New Roman"/>
          <w:b/>
          <w:sz w:val="24"/>
          <w:szCs w:val="24"/>
          <w:lang w:val="en-US" w:bidi="ar-SA"/>
        </w:rPr>
        <w:t>(5 hours)</w:t>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4.1 Partner /skills, user skills and environment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4.2 Competency development - types of competencies and its development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4.2.1Linguistic competence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4.2.2Operational Competence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4.2.3Social competence </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 xml:space="preserve">4.2.4Strategic competence </w:t>
      </w:r>
    </w:p>
    <w:p>
      <w:pPr>
        <w:suppressAutoHyphens/>
        <w:spacing w:after="0" w:line="360" w:lineRule="auto"/>
        <w:jc w:val="both"/>
        <w:rPr>
          <w:rFonts w:ascii="Times New Roman" w:hAnsi="Times New Roman" w:eastAsia="Calibri" w:cs="Times New Roman"/>
          <w:b/>
          <w:sz w:val="24"/>
          <w:szCs w:val="24"/>
          <w:lang w:val="en-GB" w:bidi="ar-SA"/>
        </w:rPr>
      </w:pPr>
      <w:r>
        <w:rPr>
          <w:rFonts w:ascii="Times New Roman" w:hAnsi="Times New Roman" w:eastAsia="Calibri" w:cs="Times New Roman"/>
          <w:b/>
          <w:sz w:val="24"/>
          <w:szCs w:val="24"/>
          <w:lang w:val="en-GB" w:bidi="ar-SA"/>
        </w:rPr>
        <w:t xml:space="preserve">Unit 5: Introduction to communication tools and Access Mode: </w:t>
      </w:r>
      <w:r>
        <w:rPr>
          <w:rFonts w:ascii="Times New Roman" w:hAnsi="Times New Roman" w:eastAsia="Calibri" w:cs="Times New Roman"/>
          <w:b/>
          <w:sz w:val="24"/>
          <w:szCs w:val="24"/>
          <w:lang w:val="en-GB" w:bidi="ar-SA"/>
        </w:rPr>
        <w:tab/>
      </w:r>
      <w:r>
        <w:rPr>
          <w:rFonts w:ascii="Times New Roman" w:hAnsi="Times New Roman" w:eastAsia="Calibri" w:cs="Times New Roman"/>
          <w:b/>
          <w:sz w:val="24"/>
          <w:szCs w:val="24"/>
          <w:lang w:val="en-GB" w:bidi="ar-SA"/>
        </w:rPr>
        <w:tab/>
      </w:r>
      <w:r>
        <w:rPr>
          <w:rFonts w:hint="default" w:ascii="Times New Roman" w:hAnsi="Times New Roman" w:eastAsia="Calibri" w:cs="Times New Roman"/>
          <w:b/>
          <w:sz w:val="24"/>
          <w:szCs w:val="24"/>
          <w:lang w:val="en-US" w:bidi="ar-SA"/>
        </w:rPr>
        <w:t>(5 hours)</w:t>
      </w:r>
      <w:r>
        <w:rPr>
          <w:rFonts w:ascii="Times New Roman" w:hAnsi="Times New Roman" w:eastAsia="Calibri" w:cs="Times New Roman"/>
          <w:b/>
          <w:sz w:val="24"/>
          <w:szCs w:val="24"/>
          <w:lang w:val="en-GB" w:bidi="ar-SA"/>
        </w:rPr>
        <w:tab/>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5.1 Types of AAC devices and systems</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5.2 Access to communication charts - hand, finger, eye point</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5.3 Access to devices: Switches - hand switch, blow switch, infrared devices, etc. &amp; Software -scan mode combined with a switch</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5.4 Selection of AAC: Child competency and environment; Design, Access, Motor, Devices</w:t>
      </w:r>
    </w:p>
    <w:p>
      <w:pPr>
        <w:suppressAutoHyphens/>
        <w:spacing w:after="0" w:line="360" w:lineRule="auto"/>
        <w:jc w:val="both"/>
        <w:rPr>
          <w:rFonts w:ascii="Times New Roman" w:hAnsi="Times New Roman" w:eastAsia="Calibri" w:cs="Times New Roman"/>
          <w:bCs/>
          <w:sz w:val="24"/>
          <w:szCs w:val="24"/>
          <w:lang w:val="en-GB" w:bidi="ar-SA"/>
        </w:rPr>
      </w:pPr>
      <w:r>
        <w:rPr>
          <w:rFonts w:ascii="Times New Roman" w:hAnsi="Times New Roman" w:eastAsia="Calibri" w:cs="Times New Roman"/>
          <w:bCs/>
          <w:sz w:val="24"/>
          <w:szCs w:val="24"/>
          <w:lang w:val="en-GB" w:bidi="ar-SA"/>
        </w:rPr>
        <w:t>5.5 Challenges in the development of AAC and Literacy: Grammar; spelling, Building Vocabulary, richness of language &amp; Motor expression</w:t>
      </w:r>
    </w:p>
    <w:p>
      <w:pPr>
        <w:suppressAutoHyphens/>
        <w:spacing w:after="200" w:line="276" w:lineRule="auto"/>
        <w:jc w:val="both"/>
        <w:rPr>
          <w:rFonts w:ascii="Times New Roman" w:hAnsi="Times New Roman" w:eastAsia="Calibri" w:cs="Times New Roman"/>
          <w:b/>
          <w:sz w:val="24"/>
          <w:szCs w:val="24"/>
          <w:lang w:val="en-GB" w:bidi="ar-SA"/>
        </w:rPr>
      </w:pPr>
    </w:p>
    <w:p>
      <w:pPr>
        <w:suppressAutoHyphens/>
        <w:spacing w:after="200" w:line="276" w:lineRule="auto"/>
        <w:jc w:val="both"/>
        <w:rPr>
          <w:rFonts w:ascii="Times New Roman" w:hAnsi="Times New Roman" w:eastAsia="Calibri" w:cs="Times New Roman"/>
          <w:sz w:val="24"/>
          <w:szCs w:val="24"/>
          <w:lang w:val="en-GB" w:bidi="ar-SA"/>
        </w:rPr>
      </w:pPr>
      <w:r>
        <w:rPr>
          <w:rFonts w:ascii="Times New Roman" w:hAnsi="Times New Roman" w:eastAsia="Calibri" w:cs="Times New Roman"/>
          <w:b/>
          <w:sz w:val="24"/>
          <w:szCs w:val="24"/>
          <w:lang w:val="en-GB" w:bidi="ar-SA"/>
        </w:rPr>
        <w:t>Note:</w:t>
      </w:r>
      <w:r>
        <w:rPr>
          <w:rFonts w:ascii="Times New Roman" w:hAnsi="Times New Roman" w:eastAsia="Calibri" w:cs="Times New Roman"/>
          <w:sz w:val="24"/>
          <w:szCs w:val="24"/>
          <w:lang w:val="en-GB" w:bidi="ar-SA"/>
        </w:rPr>
        <w:t xml:space="preserve"> On the basis of the above, the teacher may design his/her own relevant projects/ assignments. </w:t>
      </w:r>
    </w:p>
    <w:p>
      <w:pPr>
        <w:spacing w:after="0" w:line="276" w:lineRule="auto"/>
        <w:rPr>
          <w:rFonts w:ascii="Times New Roman" w:hAnsi="Times New Roman" w:eastAsia="Calibri" w:cs="Times New Roman"/>
          <w:b/>
          <w:sz w:val="24"/>
          <w:szCs w:val="24"/>
          <w:lang w:val="en-GB" w:bidi="ar-SA"/>
        </w:rPr>
      </w:pPr>
      <w:r>
        <w:rPr>
          <w:rFonts w:ascii="Times New Roman" w:hAnsi="Times New Roman" w:eastAsia="Calibri" w:cs="Times New Roman"/>
          <w:b/>
          <w:sz w:val="24"/>
          <w:szCs w:val="24"/>
          <w:lang w:val="en-GB" w:bidi="ar-SA"/>
        </w:rPr>
        <w:t xml:space="preserve">Assessment Method  </w:t>
      </w:r>
    </w:p>
    <w:p>
      <w:pPr>
        <w:spacing w:after="0" w:line="276" w:lineRule="auto"/>
        <w:rPr>
          <w:rFonts w:ascii="Times New Roman" w:hAnsi="Times New Roman" w:eastAsia="Calibri" w:cs="Times New Roman"/>
          <w:sz w:val="24"/>
          <w:szCs w:val="24"/>
          <w:lang w:val="en-GB" w:bidi="ar-SA"/>
        </w:rPr>
      </w:pPr>
      <w:r>
        <w:rPr>
          <w:rFonts w:ascii="Times New Roman" w:hAnsi="Times New Roman" w:eastAsia="Calibri" w:cs="Times New Roman"/>
          <w:sz w:val="24"/>
          <w:szCs w:val="24"/>
          <w:lang w:val="en-GB" w:bidi="ar-SA"/>
        </w:rPr>
        <w:t xml:space="preserve">The assessment will be formative in nature and will factor in student participation. Individual and group tasks and assignments will be given.  Summative evaluation will be done through end- semester examination.   </w:t>
      </w:r>
    </w:p>
    <w:p>
      <w:pPr>
        <w:spacing w:after="0" w:line="276" w:lineRule="auto"/>
        <w:rPr>
          <w:rFonts w:ascii="Times New Roman" w:hAnsi="Times New Roman" w:eastAsia="Calibri" w:cs="Times New Roman"/>
          <w:sz w:val="24"/>
          <w:szCs w:val="24"/>
          <w:lang w:bidi="ar-SA"/>
        </w:rPr>
      </w:pPr>
      <w:r>
        <w:rPr>
          <w:rFonts w:ascii="Times New Roman" w:hAnsi="Times New Roman" w:eastAsia="Calibri" w:cs="Times New Roman"/>
          <w:sz w:val="24"/>
          <w:szCs w:val="24"/>
          <w:lang w:bidi="ar-SA"/>
        </w:rPr>
        <w:t>Internal Assessment:</w:t>
      </w:r>
    </w:p>
    <w:p>
      <w:pPr>
        <w:spacing w:after="0" w:line="276" w:lineRule="auto"/>
        <w:rPr>
          <w:rFonts w:ascii="Times New Roman" w:hAnsi="Times New Roman" w:eastAsia="Calibri" w:cs="Times New Roman"/>
          <w:sz w:val="24"/>
          <w:szCs w:val="24"/>
          <w:lang w:bidi="ar-SA"/>
        </w:rPr>
      </w:pPr>
      <w:r>
        <w:rPr>
          <w:rFonts w:ascii="Times New Roman" w:hAnsi="Times New Roman" w:eastAsia="Calibri" w:cs="Times New Roman"/>
          <w:sz w:val="24"/>
          <w:szCs w:val="24"/>
          <w:lang w:bidi="ar-SA"/>
        </w:rPr>
        <w:t>a. Class test: 10 Marks</w:t>
      </w:r>
    </w:p>
    <w:p>
      <w:pPr>
        <w:spacing w:after="0" w:line="276" w:lineRule="auto"/>
        <w:rPr>
          <w:rFonts w:ascii="Times New Roman" w:hAnsi="Times New Roman" w:eastAsia="Calibri" w:cs="Times New Roman"/>
          <w:sz w:val="24"/>
          <w:szCs w:val="24"/>
          <w:lang w:bidi="ar-SA"/>
        </w:rPr>
      </w:pPr>
      <w:r>
        <w:rPr>
          <w:rFonts w:ascii="Times New Roman" w:hAnsi="Times New Roman" w:eastAsia="Calibri" w:cs="Times New Roman"/>
          <w:sz w:val="24"/>
          <w:szCs w:val="24"/>
          <w:lang w:bidi="ar-SA"/>
        </w:rPr>
        <w:t xml:space="preserve"> b. Assignment: 5 Marks</w:t>
      </w:r>
    </w:p>
    <w:p>
      <w:pPr>
        <w:spacing w:after="0" w:line="276" w:lineRule="auto"/>
        <w:rPr>
          <w:rFonts w:ascii="Times New Roman" w:hAnsi="Times New Roman" w:eastAsia="Calibri" w:cs="Times New Roman"/>
          <w:sz w:val="24"/>
          <w:szCs w:val="24"/>
          <w:lang w:bidi="ar-SA"/>
        </w:rPr>
      </w:pPr>
      <w:r>
        <w:rPr>
          <w:rFonts w:ascii="Times New Roman" w:hAnsi="Times New Roman" w:eastAsia="Calibri" w:cs="Times New Roman"/>
          <w:sz w:val="24"/>
          <w:szCs w:val="24"/>
          <w:lang w:bidi="ar-SA"/>
        </w:rPr>
        <w:t>c. d. Attendance: 05 Marks</w:t>
      </w:r>
    </w:p>
    <w:p>
      <w:pPr>
        <w:spacing w:after="0" w:line="276" w:lineRule="auto"/>
        <w:rPr>
          <w:rFonts w:ascii="Times New Roman" w:hAnsi="Times New Roman" w:eastAsia="Calibri" w:cs="Times New Roman"/>
          <w:sz w:val="24"/>
          <w:szCs w:val="24"/>
          <w:lang w:bidi="ar-SA"/>
        </w:rPr>
      </w:pPr>
      <w:r>
        <w:rPr>
          <w:rFonts w:ascii="Times New Roman" w:hAnsi="Times New Roman" w:eastAsia="Calibri" w:cs="Times New Roman"/>
          <w:sz w:val="24"/>
          <w:szCs w:val="24"/>
          <w:lang w:bidi="ar-SA"/>
        </w:rPr>
        <w:t xml:space="preserve"> End Semester Exam: 35 Marks </w:t>
      </w:r>
    </w:p>
    <w:p>
      <w:pPr>
        <w:spacing w:after="0" w:line="276" w:lineRule="auto"/>
        <w:rPr>
          <w:rFonts w:ascii="Times New Roman" w:hAnsi="Times New Roman" w:eastAsia="Calibri" w:cs="Times New Roman"/>
          <w:sz w:val="24"/>
          <w:szCs w:val="24"/>
          <w:lang w:bidi="ar-SA"/>
        </w:rPr>
      </w:pPr>
      <w:r>
        <w:rPr>
          <w:rFonts w:ascii="Times New Roman" w:hAnsi="Times New Roman" w:eastAsia="Calibri" w:cs="Times New Roman"/>
          <w:sz w:val="24"/>
          <w:szCs w:val="24"/>
          <w:lang w:bidi="ar-SA"/>
        </w:rPr>
        <w:t>Total Marks: 50 Marks</w:t>
      </w:r>
    </w:p>
    <w:p>
      <w:pPr>
        <w:spacing w:after="0" w:line="276" w:lineRule="auto"/>
        <w:rPr>
          <w:rFonts w:ascii="Times New Roman" w:hAnsi="Times New Roman" w:eastAsia="Calibri" w:cs="Times New Roman"/>
          <w:sz w:val="24"/>
          <w:szCs w:val="24"/>
          <w:lang w:bidi="ar-SA"/>
        </w:rPr>
      </w:pPr>
    </w:p>
    <w:p>
      <w:pPr>
        <w:widowControl w:val="0"/>
        <w:autoSpaceDE w:val="0"/>
        <w:autoSpaceDN w:val="0"/>
        <w:spacing w:before="70" w:after="0" w:line="276" w:lineRule="auto"/>
        <w:ind w:left="152"/>
        <w:outlineLvl w:val="1"/>
        <w:rPr>
          <w:rFonts w:ascii="Times New Roman" w:hAnsi="Times New Roman" w:eastAsia="Times New Roman" w:cs="Times New Roman"/>
          <w:b/>
          <w:bCs/>
          <w:w w:val="95"/>
          <w:sz w:val="24"/>
          <w:szCs w:val="24"/>
          <w:lang w:bidi="ar-SA"/>
        </w:rPr>
      </w:pPr>
      <w:r>
        <w:rPr>
          <w:rFonts w:ascii="Times New Roman" w:hAnsi="Times New Roman" w:eastAsia="Times New Roman" w:cs="Times New Roman"/>
          <w:b/>
          <w:bCs/>
          <w:w w:val="95"/>
          <w:sz w:val="24"/>
          <w:szCs w:val="24"/>
          <w:lang w:bidi="ar-SA"/>
        </w:rPr>
        <w:t xml:space="preserve">Suggested Reading: </w:t>
      </w:r>
    </w:p>
    <w:p>
      <w:pPr>
        <w:widowControl w:val="0"/>
        <w:autoSpaceDE w:val="0"/>
        <w:autoSpaceDN w:val="0"/>
        <w:spacing w:before="70" w:after="0" w:line="276" w:lineRule="auto"/>
        <w:ind w:left="152"/>
        <w:jc w:val="both"/>
        <w:outlineLvl w:val="1"/>
        <w:rPr>
          <w:rFonts w:ascii="Times New Roman" w:hAnsi="Times New Roman" w:eastAsia="Times New Roman" w:cs="Times New Roman"/>
          <w:w w:val="95"/>
          <w:sz w:val="24"/>
          <w:szCs w:val="24"/>
          <w:lang w:bidi="ar-SA"/>
        </w:rPr>
      </w:pPr>
      <w:r>
        <w:rPr>
          <w:rFonts w:ascii="Times New Roman" w:hAnsi="Times New Roman" w:eastAsia="Times New Roman" w:cs="Times New Roman"/>
          <w:b/>
          <w:bCs/>
          <w:w w:val="95"/>
          <w:sz w:val="24"/>
          <w:szCs w:val="24"/>
          <w:lang w:bidi="ar-SA"/>
        </w:rPr>
        <w:t xml:space="preserve">• </w:t>
      </w:r>
      <w:r>
        <w:rPr>
          <w:rFonts w:ascii="Times New Roman" w:hAnsi="Times New Roman" w:eastAsia="Times New Roman" w:cs="Times New Roman"/>
          <w:w w:val="95"/>
          <w:sz w:val="24"/>
          <w:szCs w:val="24"/>
          <w:lang w:bidi="ar-SA"/>
        </w:rPr>
        <w:t xml:space="preserve">Silverman, F.H. (1994).Communication for the Speechless (3rd Edn.). Allyn &amp; Bacon, Boston. </w:t>
      </w:r>
    </w:p>
    <w:p>
      <w:pPr>
        <w:widowControl w:val="0"/>
        <w:autoSpaceDE w:val="0"/>
        <w:autoSpaceDN w:val="0"/>
        <w:spacing w:before="70" w:after="0" w:line="276" w:lineRule="auto"/>
        <w:ind w:left="152"/>
        <w:jc w:val="both"/>
        <w:outlineLvl w:val="1"/>
        <w:rPr>
          <w:rFonts w:ascii="Times New Roman" w:hAnsi="Times New Roman" w:eastAsia="Times New Roman" w:cs="Times New Roman"/>
          <w:w w:val="95"/>
          <w:sz w:val="24"/>
          <w:szCs w:val="24"/>
          <w:lang w:bidi="ar-SA"/>
        </w:rPr>
      </w:pPr>
      <w:r>
        <w:rPr>
          <w:rFonts w:ascii="Times New Roman" w:hAnsi="Times New Roman" w:eastAsia="Times New Roman" w:cs="Times New Roman"/>
          <w:w w:val="95"/>
          <w:sz w:val="24"/>
          <w:szCs w:val="24"/>
          <w:lang w:bidi="ar-SA"/>
        </w:rPr>
        <w:t xml:space="preserve">• David R. Beukelman, D. R., &amp; Mirenda, P (2013). Augmentative and Alternative Communication Supporting Children and Adults with Complex Communication Needs (4th Edn.) Brookes Publishing Co. Baltimore. </w:t>
      </w:r>
    </w:p>
    <w:p>
      <w:pPr>
        <w:widowControl w:val="0"/>
        <w:autoSpaceDE w:val="0"/>
        <w:autoSpaceDN w:val="0"/>
        <w:spacing w:before="70" w:after="0" w:line="276" w:lineRule="auto"/>
        <w:ind w:left="152"/>
        <w:jc w:val="both"/>
        <w:outlineLvl w:val="1"/>
        <w:rPr>
          <w:rFonts w:ascii="Times New Roman" w:hAnsi="Times New Roman" w:eastAsia="Times New Roman" w:cs="Times New Roman"/>
          <w:w w:val="95"/>
          <w:sz w:val="24"/>
          <w:szCs w:val="24"/>
          <w:lang w:bidi="ar-SA"/>
        </w:rPr>
      </w:pPr>
      <w:r>
        <w:rPr>
          <w:rFonts w:ascii="Times New Roman" w:hAnsi="Times New Roman" w:eastAsia="Times New Roman" w:cs="Times New Roman"/>
          <w:w w:val="95"/>
          <w:sz w:val="24"/>
          <w:szCs w:val="24"/>
          <w:lang w:bidi="ar-SA"/>
        </w:rPr>
        <w:t xml:space="preserve">• Lynch, C., &amp; Cooper, J. (1991).Early Communication Skills: Practical Activities for Teachers and Therapists, Speechmark Publishing Ltd, Bicester, Oxon </w:t>
      </w:r>
    </w:p>
    <w:p>
      <w:pPr>
        <w:widowControl w:val="0"/>
        <w:autoSpaceDE w:val="0"/>
        <w:autoSpaceDN w:val="0"/>
        <w:spacing w:before="70" w:after="0" w:line="276" w:lineRule="auto"/>
        <w:ind w:left="152"/>
        <w:jc w:val="both"/>
        <w:outlineLvl w:val="1"/>
        <w:rPr>
          <w:rFonts w:ascii="Times New Roman" w:hAnsi="Times New Roman" w:eastAsia="Times New Roman" w:cs="Times New Roman"/>
          <w:w w:val="95"/>
          <w:sz w:val="24"/>
          <w:szCs w:val="24"/>
          <w:lang w:bidi="ar-SA"/>
        </w:rPr>
      </w:pPr>
      <w:r>
        <w:rPr>
          <w:rFonts w:ascii="Times New Roman" w:hAnsi="Times New Roman" w:eastAsia="Times New Roman" w:cs="Times New Roman"/>
          <w:w w:val="95"/>
          <w:sz w:val="24"/>
          <w:szCs w:val="24"/>
          <w:lang w:bidi="ar-SA"/>
        </w:rPr>
        <w:t xml:space="preserve">• Warrick, A., &amp; Kaul, S. (1997). Their manner of speaking: augmentative communication for children and young adults with severe speech disorders, Indian Institute of Cerebral Palsy, Kolkata </w:t>
      </w:r>
    </w:p>
    <w:p>
      <w:pPr>
        <w:widowControl w:val="0"/>
        <w:autoSpaceDE w:val="0"/>
        <w:autoSpaceDN w:val="0"/>
        <w:spacing w:before="70" w:after="0" w:line="276" w:lineRule="auto"/>
        <w:ind w:left="152"/>
        <w:jc w:val="both"/>
        <w:outlineLvl w:val="1"/>
        <w:rPr>
          <w:rFonts w:ascii="Times New Roman" w:hAnsi="Times New Roman" w:eastAsia="Times New Roman" w:cs="Times New Roman"/>
          <w:w w:val="95"/>
          <w:sz w:val="24"/>
          <w:szCs w:val="24"/>
          <w:lang w:bidi="ar-SA"/>
        </w:rPr>
      </w:pPr>
      <w:r>
        <w:rPr>
          <w:rFonts w:ascii="Times New Roman" w:hAnsi="Times New Roman" w:eastAsia="Times New Roman" w:cs="Times New Roman"/>
          <w:w w:val="95"/>
          <w:sz w:val="24"/>
          <w:szCs w:val="24"/>
          <w:lang w:bidi="ar-SA"/>
        </w:rPr>
        <w:t xml:space="preserve">• Communication, compiler: T.N. Southgate. BA, Ormerod School, Oxford, Editor ,G.M. Cochrane MA, FRCP, Equipment for Disabled People , Mary Mariborough Lodge, Nuffield Orthopedic Centre, Oxford OX3 7 LD </w:t>
      </w:r>
    </w:p>
    <w:p>
      <w:pPr>
        <w:widowControl w:val="0"/>
        <w:autoSpaceDE w:val="0"/>
        <w:autoSpaceDN w:val="0"/>
        <w:spacing w:before="70" w:after="0" w:line="276" w:lineRule="auto"/>
        <w:ind w:left="152"/>
        <w:jc w:val="both"/>
        <w:outlineLvl w:val="1"/>
        <w:rPr>
          <w:rFonts w:ascii="Times New Roman" w:hAnsi="Times New Roman" w:eastAsia="Times New Roman" w:cs="Times New Roman"/>
          <w:w w:val="95"/>
          <w:sz w:val="24"/>
          <w:szCs w:val="24"/>
          <w:lang w:bidi="ar-SA"/>
        </w:rPr>
      </w:pPr>
      <w:r>
        <w:rPr>
          <w:rFonts w:ascii="Times New Roman" w:hAnsi="Times New Roman" w:eastAsia="Times New Roman" w:cs="Times New Roman"/>
          <w:w w:val="95"/>
          <w:sz w:val="24"/>
          <w:szCs w:val="24"/>
          <w:lang w:bidi="ar-SA"/>
        </w:rPr>
        <w:t xml:space="preserve">• Tina, D., &amp; Mike, D. (1997).Literacy Through Symbols: Improving Access for Children and Adults, David Fulton Publishers, London. </w:t>
      </w:r>
    </w:p>
    <w:p>
      <w:pPr>
        <w:widowControl w:val="0"/>
        <w:autoSpaceDE w:val="0"/>
        <w:autoSpaceDN w:val="0"/>
        <w:spacing w:before="70" w:after="0" w:line="276" w:lineRule="auto"/>
        <w:ind w:left="152"/>
        <w:jc w:val="both"/>
        <w:outlineLvl w:val="1"/>
        <w:rPr>
          <w:rFonts w:ascii="Times New Roman" w:hAnsi="Times New Roman" w:eastAsia="Times New Roman" w:cs="Times New Roman"/>
          <w:sz w:val="24"/>
          <w:szCs w:val="24"/>
          <w:lang w:bidi="ar-SA"/>
        </w:rPr>
      </w:pPr>
      <w:r>
        <w:rPr>
          <w:rFonts w:ascii="Times New Roman" w:hAnsi="Times New Roman" w:eastAsia="Times New Roman" w:cs="Times New Roman"/>
          <w:w w:val="95"/>
          <w:sz w:val="24"/>
          <w:szCs w:val="24"/>
          <w:lang w:bidi="ar-SA"/>
        </w:rPr>
        <w:t>• McCurtin, A., &amp; Geraldine, M. (2000). The Manual of AAC Assessment. Speechmark Publishing Ltd., London</w:t>
      </w:r>
    </w:p>
    <w:sectPr>
      <w:footerReference r:id="rId5" w:type="default"/>
      <w:pgSz w:w="12240" w:h="15840"/>
      <w:pgMar w:top="1152"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hruti">
    <w:altName w:val="Geeza Pro"/>
    <w:panose1 w:val="02000500000000000000"/>
    <w:charset w:val="01"/>
    <w:family w:val="roman"/>
    <w:pitch w:val="default"/>
    <w:sig w:usb0="00000000" w:usb1="00000000" w:usb2="00000000" w:usb3="00000000" w:csb0="00000000" w:csb1="00000000"/>
  </w:font>
  <w:font w:name="Geeza Pro">
    <w:panose1 w:val="02000400000000000000"/>
    <w:charset w:val="00"/>
    <w:family w:val="auto"/>
    <w:pitch w:val="default"/>
    <w:sig w:usb0="00000000" w:usb1="00000000" w:usb2="00000000" w:usb3="00000000" w:csb0="00000000" w:csb1="00000000"/>
  </w:font>
  <w:font w:name="Shruti">
    <w:altName w:val="苹方-简"/>
    <w:panose1 w:val="00000000000000000000"/>
    <w:charset w:val="00"/>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Mangal">
    <w:altName w:val="Thonburi"/>
    <w:panose1 w:val="000004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3"/>
      </w:rPr>
      <mc:AlternateContent>
        <mc:Choice Requires="wps">
          <w:drawing>
            <wp:anchor distT="0" distB="0" distL="114300" distR="114300" simplePos="0" relativeHeight="251659264" behindDoc="1" locked="0" layoutInCell="1" allowOverlap="1">
              <wp:simplePos x="0" y="0"/>
              <wp:positionH relativeFrom="page">
                <wp:posOffset>1172210</wp:posOffset>
              </wp:positionH>
              <wp:positionV relativeFrom="page">
                <wp:posOffset>9272270</wp:posOffset>
              </wp:positionV>
              <wp:extent cx="5442585" cy="53340"/>
              <wp:effectExtent l="635" t="4445" r="0" b="0"/>
              <wp:wrapNone/>
              <wp:docPr id="2" name="Freeform 2"/>
              <wp:cNvGraphicFramePr/>
              <a:graphic xmlns:a="http://schemas.openxmlformats.org/drawingml/2006/main">
                <a:graphicData uri="http://schemas.microsoft.com/office/word/2010/wordprocessingShape">
                  <wps:wsp>
                    <wps:cNvSpPr/>
                    <wps:spPr bwMode="auto">
                      <a:xfrm>
                        <a:off x="0" y="0"/>
                        <a:ext cx="5442585" cy="53340"/>
                      </a:xfrm>
                      <a:custGeom>
                        <a:avLst/>
                        <a:gdLst>
                          <a:gd name="T0" fmla="+- 0 10416 1846"/>
                          <a:gd name="T1" fmla="*/ T0 w 8571"/>
                          <a:gd name="T2" fmla="+- 0 14671 14602"/>
                          <a:gd name="T3" fmla="*/ 14671 h 84"/>
                          <a:gd name="T4" fmla="+- 0 1846 1846"/>
                          <a:gd name="T5" fmla="*/ T4 w 8571"/>
                          <a:gd name="T6" fmla="+- 0 14671 14602"/>
                          <a:gd name="T7" fmla="*/ 14671 h 84"/>
                          <a:gd name="T8" fmla="+- 0 1846 1846"/>
                          <a:gd name="T9" fmla="*/ T8 w 8571"/>
                          <a:gd name="T10" fmla="+- 0 14686 14602"/>
                          <a:gd name="T11" fmla="*/ 14686 h 84"/>
                          <a:gd name="T12" fmla="+- 0 10416 1846"/>
                          <a:gd name="T13" fmla="*/ T12 w 8571"/>
                          <a:gd name="T14" fmla="+- 0 14686 14602"/>
                          <a:gd name="T15" fmla="*/ 14686 h 84"/>
                          <a:gd name="T16" fmla="+- 0 10416 1846"/>
                          <a:gd name="T17" fmla="*/ T16 w 8571"/>
                          <a:gd name="T18" fmla="+- 0 14671 14602"/>
                          <a:gd name="T19" fmla="*/ 14671 h 84"/>
                          <a:gd name="T20" fmla="+- 0 10416 1846"/>
                          <a:gd name="T21" fmla="*/ T20 w 8571"/>
                          <a:gd name="T22" fmla="+- 0 14602 14602"/>
                          <a:gd name="T23" fmla="*/ 14602 h 84"/>
                          <a:gd name="T24" fmla="+- 0 1846 1846"/>
                          <a:gd name="T25" fmla="*/ T24 w 8571"/>
                          <a:gd name="T26" fmla="+- 0 14602 14602"/>
                          <a:gd name="T27" fmla="*/ 14602 h 84"/>
                          <a:gd name="T28" fmla="+- 0 1846 1846"/>
                          <a:gd name="T29" fmla="*/ T28 w 8571"/>
                          <a:gd name="T30" fmla="+- 0 14659 14602"/>
                          <a:gd name="T31" fmla="*/ 14659 h 84"/>
                          <a:gd name="T32" fmla="+- 0 10416 1846"/>
                          <a:gd name="T33" fmla="*/ T32 w 8571"/>
                          <a:gd name="T34" fmla="+- 0 14659 14602"/>
                          <a:gd name="T35" fmla="*/ 14659 h 84"/>
                          <a:gd name="T36" fmla="+- 0 10416 1846"/>
                          <a:gd name="T37" fmla="*/ T36 w 8571"/>
                          <a:gd name="T38" fmla="+- 0 14602 14602"/>
                          <a:gd name="T39" fmla="*/ 14602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71" h="84">
                            <a:moveTo>
                              <a:pt x="8570" y="69"/>
                            </a:moveTo>
                            <a:lnTo>
                              <a:pt x="0" y="69"/>
                            </a:lnTo>
                            <a:lnTo>
                              <a:pt x="0" y="84"/>
                            </a:lnTo>
                            <a:lnTo>
                              <a:pt x="8570" y="84"/>
                            </a:lnTo>
                            <a:lnTo>
                              <a:pt x="8570" y="69"/>
                            </a:lnTo>
                            <a:close/>
                            <a:moveTo>
                              <a:pt x="8570" y="0"/>
                            </a:moveTo>
                            <a:lnTo>
                              <a:pt x="0" y="0"/>
                            </a:lnTo>
                            <a:lnTo>
                              <a:pt x="0" y="57"/>
                            </a:lnTo>
                            <a:lnTo>
                              <a:pt x="8570" y="57"/>
                            </a:lnTo>
                            <a:lnTo>
                              <a:pt x="8570" y="0"/>
                            </a:lnTo>
                            <a:close/>
                          </a:path>
                        </a:pathLst>
                      </a:custGeom>
                      <a:solidFill>
                        <a:srgbClr val="363636"/>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2.3pt;margin-top:730.1pt;height:4.2pt;width:428.55pt;mso-position-horizontal-relative:page;mso-position-vertical-relative:page;z-index:-251657216;mso-width-relative:page;mso-height-relative:page;" fillcolor="#363636" filled="t" stroked="f" coordsize="8571,84" o:gfxdata="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FgAAAGRycy9QSwECFAAUAAAA&#10;CACHTuJASS0iYtoAAAAOAQAADwAAAAAAAAABACAAAAA4AAAAZHJzL2Rvd25yZXYueG1sUEsBAhQA&#10;FAAAAAgAh07iQOPy7r4UBAAAHQ4AAA4AAAAAAAAAAQAgAAAAPwEAAGRycy9lMm9Eb2MueG1sUEsF&#10;BgAAAAAGAAYAWQEAAMUHAAAAAA==&#10;" path="m8570,69l0,69,0,84,8570,84,8570,69xm8570,0l0,0,0,57,8570,57,8570,0xe">
              <v:path o:connectlocs="5441950,9316085;0,9316085;0,9325610;5441950,9325610;5441950,9316085;5441950,9272270;0,9272270;0,9308465;5441950,9308465;5441950,927227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C6C30"/>
    <w:multiLevelType w:val="multilevel"/>
    <w:tmpl w:val="30BC6C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13"/>
    <w:rsid w:val="00261B66"/>
    <w:rsid w:val="00266D0B"/>
    <w:rsid w:val="0036504D"/>
    <w:rsid w:val="00383F8E"/>
    <w:rsid w:val="00582E1A"/>
    <w:rsid w:val="007070F6"/>
    <w:rsid w:val="00A24973"/>
    <w:rsid w:val="00C13FDC"/>
    <w:rsid w:val="00D91C13"/>
    <w:rsid w:val="55FD856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cs="Shruti" w:asciiTheme="minorHAnsi" w:hAnsiTheme="minorHAnsi" w:eastAsiaTheme="minorHAnsi"/>
      <w:sz w:val="22"/>
      <w:szCs w:val="22"/>
      <w:lang w:val="en-US" w:eastAsia="en-US" w:bidi="gu-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5"/>
    <w:semiHidden/>
    <w:unhideWhenUsed/>
    <w:qFormat/>
    <w:uiPriority w:val="99"/>
    <w:pPr>
      <w:spacing w:after="120"/>
    </w:pPr>
  </w:style>
  <w:style w:type="character" w:customStyle="1" w:styleId="5">
    <w:name w:val="Body Text Char"/>
    <w:basedOn w:val="2"/>
    <w:link w:val="4"/>
    <w:semiHidden/>
    <w:qFormat/>
    <w:uiPriority w:val="99"/>
    <w:rPr>
      <w:rFonts w:cs="Shruti"/>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785</Words>
  <Characters>4481</Characters>
  <Lines>37</Lines>
  <Paragraphs>10</Paragraphs>
  <TotalTime>1</TotalTime>
  <ScaleCrop>false</ScaleCrop>
  <LinksUpToDate>false</LinksUpToDate>
  <CharactersWithSpaces>5256</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2024-01-18T20:34:00Z</dcterms:created>
  <dc:creator>Microsoft account</dc:creator>
  <cp:lastModifiedBy>dr.deepika</cp:lastModifiedBy>
  <dcterms:modified xsi:type="dcterms:W3CDTF">2024-05-17T13:13:13Z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